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C78" w:rsidRDefault="00452616" w:rsidP="00D27C78">
      <w:pPr>
        <w:pBdr>
          <w:top w:val="single" w:sz="4" w:space="1" w:color="auto"/>
          <w:bottom w:val="single" w:sz="4" w:space="1" w:color="auto"/>
        </w:pBdr>
        <w:spacing w:after="0"/>
        <w:jc w:val="center"/>
        <w:rPr>
          <w:b/>
        </w:rPr>
      </w:pPr>
      <w:r w:rsidRPr="00B2380D">
        <w:rPr>
          <w:b/>
        </w:rPr>
        <w:t>ŞUBE AÇARAK TEŞKİLATLANAN SİGORTA ACENTELERİ BAŞVURU</w:t>
      </w:r>
      <w:r w:rsidR="00094F90">
        <w:rPr>
          <w:b/>
        </w:rPr>
        <w:t xml:space="preserve">LARINA İLİŞKİN </w:t>
      </w:r>
    </w:p>
    <w:p w:rsidR="00452616" w:rsidRPr="00B2380D" w:rsidRDefault="00452616" w:rsidP="00452616">
      <w:pPr>
        <w:pBdr>
          <w:top w:val="single" w:sz="4" w:space="1" w:color="auto"/>
          <w:bottom w:val="single" w:sz="4" w:space="1" w:color="auto"/>
        </w:pBdr>
        <w:jc w:val="center"/>
        <w:rPr>
          <w:b/>
        </w:rPr>
      </w:pPr>
      <w:r w:rsidRPr="00B2380D">
        <w:rPr>
          <w:b/>
        </w:rPr>
        <w:t>USUL VE ESASLAR</w:t>
      </w:r>
    </w:p>
    <w:p w:rsidR="009B2C43" w:rsidRDefault="009B2C43" w:rsidP="0016010E">
      <w:pPr>
        <w:pStyle w:val="ListeParagraf"/>
        <w:numPr>
          <w:ilvl w:val="0"/>
          <w:numId w:val="1"/>
        </w:numPr>
        <w:jc w:val="both"/>
      </w:pPr>
      <w:r>
        <w:t xml:space="preserve">Mevcut şubesi olan </w:t>
      </w:r>
      <w:r w:rsidR="00905233">
        <w:t>Sigorta A</w:t>
      </w:r>
      <w:r>
        <w:t>centeler</w:t>
      </w:r>
      <w:r w:rsidR="00905233">
        <w:t>i, 2014/8 sayılı Sigorta Acenteleri Yönetmeliğinin Uygulamasına İlişkin Genelge’</w:t>
      </w:r>
      <w:bookmarkStart w:id="0" w:name="_GoBack"/>
      <w:bookmarkEnd w:id="0"/>
      <w:r w:rsidR="00905233">
        <w:t xml:space="preserve">nin </w:t>
      </w:r>
      <w:r w:rsidR="00AD63AA">
        <w:t xml:space="preserve">(Bundan sonra Genelge olarak kısaltılacaktır) </w:t>
      </w:r>
      <w:r w:rsidR="00905233">
        <w:t xml:space="preserve">2 ve 3 numaralı ekinde yer alan </w:t>
      </w:r>
      <w:r w:rsidR="00905233" w:rsidRPr="0084454C">
        <w:rPr>
          <w:b/>
        </w:rPr>
        <w:t>mali müşavir onaylı mali tablolar</w:t>
      </w:r>
      <w:r w:rsidR="00817442" w:rsidRPr="0084454C">
        <w:rPr>
          <w:b/>
        </w:rPr>
        <w:t xml:space="preserve">, mali müşavir onaylı </w:t>
      </w:r>
      <w:r w:rsidR="00822B28" w:rsidRPr="0084454C">
        <w:rPr>
          <w:b/>
        </w:rPr>
        <w:t xml:space="preserve">ödenmiş </w:t>
      </w:r>
      <w:r w:rsidR="00817442" w:rsidRPr="0084454C">
        <w:rPr>
          <w:b/>
        </w:rPr>
        <w:t>sermaye / malvarlığı beyanı</w:t>
      </w:r>
      <w:r w:rsidR="00817442" w:rsidRPr="0084454C">
        <w:t xml:space="preserve"> (söz konusu ödenmiş sermaye / malvarlığının en az %50 sinin nakit ve nakde kolay dönüştürülebilir yatırım araçlarından oluştuğuna ilişkin) </w:t>
      </w:r>
      <w:r w:rsidR="00905233">
        <w:t xml:space="preserve"> ile</w:t>
      </w:r>
      <w:r>
        <w:t xml:space="preserve"> işbu </w:t>
      </w:r>
      <w:r w:rsidR="00FA0DF8">
        <w:t>U</w:t>
      </w:r>
      <w:r>
        <w:t xml:space="preserve">sul ve </w:t>
      </w:r>
      <w:r w:rsidR="00FA0DF8">
        <w:t>E</w:t>
      </w:r>
      <w:r>
        <w:t xml:space="preserve">sasların ekinde yer alan </w:t>
      </w:r>
      <w:r w:rsidR="00094F90">
        <w:t xml:space="preserve">ve birer örneği </w:t>
      </w:r>
      <w:hyperlink r:id="rId7" w:history="1">
        <w:r w:rsidR="00094F90" w:rsidRPr="00842BCD">
          <w:rPr>
            <w:rStyle w:val="Kpr"/>
          </w:rPr>
          <w:t>www.sigorta.org.tr</w:t>
        </w:r>
      </w:hyperlink>
      <w:r w:rsidR="00094F90">
        <w:t xml:space="preserve"> adresli internet sayfasında yayımlanan; </w:t>
      </w:r>
      <w:r>
        <w:t>organizasyon şeması, acente merkezi ve acente şubeleri isimli tablolar ile ilgili yönetici ve personeller için bilgi formunu düzenleyerek</w:t>
      </w:r>
      <w:r w:rsidR="005A30DB">
        <w:t xml:space="preserve"> ve ilgili mevzuatta belirtilen süreler dikkate alınarak </w:t>
      </w:r>
      <w:r w:rsidR="00AC6823">
        <w:t>ivedilikle</w:t>
      </w:r>
      <w:r w:rsidR="005A30DB">
        <w:t xml:space="preserve"> </w:t>
      </w:r>
      <w:r>
        <w:t>uygunluk belgesi başvurusunda bulundukları Odalara müracaat edeceklerdir.</w:t>
      </w:r>
      <w:r w:rsidR="00AD63AA">
        <w:t xml:space="preserve"> Söz konusu, başvurular ilgili Odalar tarafından incelenerek Birliğimize iletilecek olup, Birliğimizce uygun olarak değerlendirilen başvurular Hazine Müsteşarlığına iletilecektir.</w:t>
      </w:r>
    </w:p>
    <w:p w:rsidR="00817442" w:rsidRDefault="00FA0DF8" w:rsidP="00817442">
      <w:pPr>
        <w:pStyle w:val="ListeParagraf"/>
        <w:numPr>
          <w:ilvl w:val="0"/>
          <w:numId w:val="1"/>
        </w:numPr>
        <w:jc w:val="both"/>
      </w:pPr>
      <w:proofErr w:type="gramStart"/>
      <w:r>
        <w:t xml:space="preserve">Yeni şube açmak isteyen </w:t>
      </w:r>
      <w:r w:rsidR="00905233">
        <w:t>Sigorta A</w:t>
      </w:r>
      <w:r>
        <w:t>centeler</w:t>
      </w:r>
      <w:r w:rsidR="00905233">
        <w:t>i</w:t>
      </w:r>
      <w:r>
        <w:t xml:space="preserve"> şube tescil işleminden önce</w:t>
      </w:r>
      <w:r w:rsidR="00905233">
        <w:t>,</w:t>
      </w:r>
      <w:r>
        <w:t xml:space="preserve"> </w:t>
      </w:r>
      <w:r w:rsidR="00905233">
        <w:t xml:space="preserve">Genelge’nin 2 ve 3 numaralı ekinde yer alan </w:t>
      </w:r>
      <w:r w:rsidR="00905233" w:rsidRPr="0084454C">
        <w:rPr>
          <w:b/>
        </w:rPr>
        <w:t>mali müşavir onaylı mali tablolar</w:t>
      </w:r>
      <w:r w:rsidR="00817442" w:rsidRPr="0084454C">
        <w:rPr>
          <w:b/>
        </w:rPr>
        <w:t xml:space="preserve">, mali müşavir onaylı </w:t>
      </w:r>
      <w:r w:rsidR="00822B28" w:rsidRPr="0084454C">
        <w:rPr>
          <w:b/>
        </w:rPr>
        <w:t xml:space="preserve">ödenmiş </w:t>
      </w:r>
      <w:r w:rsidR="00817442" w:rsidRPr="0084454C">
        <w:rPr>
          <w:b/>
        </w:rPr>
        <w:t>sermaye / malvarlığı beyanı</w:t>
      </w:r>
      <w:r w:rsidR="00817442" w:rsidRPr="0084454C">
        <w:t xml:space="preserve"> (söz konusu ödenmiş sermaye / malvarlığının en az %50 sinin nakit ve nakde kolay dönüştürülebilir yatırım araçlarından oluştuğuna ilişkin) </w:t>
      </w:r>
      <w:r w:rsidR="00905233">
        <w:t xml:space="preserve">ile </w:t>
      </w:r>
      <w:r>
        <w:t xml:space="preserve">organizasyon şeması, acente merkezi ve acente şubeleri isimli tablolar ile ilgili yönetici ve personeller için bilgi formunu düzenleyerek uygunluk belgesi başvurusunda bulundukları Odaya başvuracaklardır. </w:t>
      </w:r>
      <w:proofErr w:type="gramEnd"/>
      <w:r w:rsidR="001E2660">
        <w:t>Söz konusu</w:t>
      </w:r>
      <w:r w:rsidR="00AD63AA">
        <w:t xml:space="preserve"> başvurular ilgili Odalar tarafından incelenerek Birliğimize iletilecek olup, Birliğimizce uygun olarak değerlendirilen başvurular Hazine Müsteşarlığına iletilecektir. </w:t>
      </w:r>
      <w:r>
        <w:t>Hazine Müsteşarlığı tarafından onaylan</w:t>
      </w:r>
      <w:r w:rsidR="00AD63AA">
        <w:t>an başvuruların</w:t>
      </w:r>
      <w:r>
        <w:t xml:space="preserve"> şube tescil işlemleri gerçekleştirilecek</w:t>
      </w:r>
      <w:r w:rsidR="00AD63AA">
        <w:t xml:space="preserve"> olup, Müsteşarlık onayından önce şube tescil işlemi yapılmayacaktır.</w:t>
      </w:r>
    </w:p>
    <w:p w:rsidR="00FA0DF8" w:rsidRDefault="00A0244D" w:rsidP="00AD63AA">
      <w:pPr>
        <w:pStyle w:val="ListeParagraf"/>
        <w:numPr>
          <w:ilvl w:val="0"/>
          <w:numId w:val="1"/>
        </w:numPr>
        <w:jc w:val="both"/>
      </w:pPr>
      <w:r>
        <w:t xml:space="preserve">İlgili </w:t>
      </w:r>
      <w:r w:rsidR="00C21F5F">
        <w:t>O</w:t>
      </w:r>
      <w:r>
        <w:t>dalara yapılmayan, doğrudan Birliğimize yapılan müracaatlar kesinlikle değerlendirmeye alınmayacaktır.</w:t>
      </w:r>
      <w:r w:rsidR="00AD63AA">
        <w:t xml:space="preserve"> </w:t>
      </w:r>
      <w:r w:rsidR="00FA0DF8">
        <w:t xml:space="preserve">  </w:t>
      </w:r>
    </w:p>
    <w:p w:rsidR="005A30DB" w:rsidRDefault="009261C4" w:rsidP="009B2C43">
      <w:pPr>
        <w:pStyle w:val="ListeParagraf"/>
        <w:numPr>
          <w:ilvl w:val="0"/>
          <w:numId w:val="1"/>
        </w:numPr>
        <w:jc w:val="both"/>
      </w:pPr>
      <w:r w:rsidRPr="0084454C">
        <w:t xml:space="preserve">Mevcut şubesi olan acentelerin başvuruları için </w:t>
      </w:r>
      <w:r w:rsidR="00AD63AA">
        <w:t xml:space="preserve">Odalar tarafından gerekli inceleme ve </w:t>
      </w:r>
      <w:proofErr w:type="gramStart"/>
      <w:r w:rsidR="00AD63AA">
        <w:t>değerlendirme</w:t>
      </w:r>
      <w:proofErr w:type="gramEnd"/>
      <w:r w:rsidR="00AD63AA">
        <w:t xml:space="preserve"> yapıldıktan sonra Genelge’nin </w:t>
      </w:r>
      <w:r w:rsidR="005A30DB">
        <w:t>7.6. maddesinde belirtilen süre (Başvuruların 24 Nisan 2015 tarihinde Birliğimizce Hazine Müsteşarlığına iletilmesi gerekmektedir.) dikkate alınarak mümkün olan en kısa sürede b</w:t>
      </w:r>
      <w:r w:rsidR="009B2C43">
        <w:t xml:space="preserve">u </w:t>
      </w:r>
      <w:r w:rsidR="00094F90">
        <w:t>Usul ve Esas</w:t>
      </w:r>
      <w:r w:rsidR="009B2C43">
        <w:t xml:space="preserve">ların ekinde yer alan tablolar ile organizasyon şeması </w:t>
      </w:r>
      <w:proofErr w:type="spellStart"/>
      <w:r w:rsidR="009B2C43">
        <w:t>excel</w:t>
      </w:r>
      <w:proofErr w:type="spellEnd"/>
      <w:r w:rsidR="009B2C43">
        <w:t xml:space="preserve"> formatında </w:t>
      </w:r>
      <w:hyperlink r:id="rId8" w:history="1">
        <w:r w:rsidR="009B2C43" w:rsidRPr="00F13BF5">
          <w:rPr>
            <w:rStyle w:val="Kpr"/>
          </w:rPr>
          <w:t>sigortacilik@tobb.org.tr</w:t>
        </w:r>
      </w:hyperlink>
      <w:r w:rsidR="009B2C43">
        <w:t xml:space="preserve"> adresli Birliğimiz e-posta hesabına iletilecektir. </w:t>
      </w:r>
      <w:r w:rsidR="005A30DB">
        <w:t>B</w:t>
      </w:r>
      <w:r w:rsidR="009B2C43">
        <w:t>aşvurular, geliş sırasına göre Müsteşarlığa iletilecek</w:t>
      </w:r>
      <w:r w:rsidR="005A30DB">
        <w:t xml:space="preserve">tir. </w:t>
      </w:r>
    </w:p>
    <w:p w:rsidR="009B2C43" w:rsidRDefault="00BF4506" w:rsidP="009B2C43">
      <w:pPr>
        <w:pStyle w:val="ListeParagraf"/>
        <w:numPr>
          <w:ilvl w:val="0"/>
          <w:numId w:val="1"/>
        </w:numPr>
        <w:jc w:val="both"/>
      </w:pPr>
      <w:r w:rsidRPr="0084454C">
        <w:t>Mali müşavir onaylı ödenmiş sermaye/</w:t>
      </w:r>
      <w:proofErr w:type="spellStart"/>
      <w:r w:rsidRPr="0084454C">
        <w:t>malvalığı</w:t>
      </w:r>
      <w:proofErr w:type="spellEnd"/>
      <w:r w:rsidRPr="0084454C">
        <w:t xml:space="preserve"> beyanı</w:t>
      </w:r>
      <w:r w:rsidR="003B4BE1" w:rsidRPr="0084454C">
        <w:t xml:space="preserve"> </w:t>
      </w:r>
      <w:r w:rsidRPr="0084454C">
        <w:t xml:space="preserve">ile </w:t>
      </w:r>
      <w:r w:rsidR="00822B28">
        <w:t>b</w:t>
      </w:r>
      <w:r w:rsidR="009B2C43">
        <w:t xml:space="preserve">ilgi formları </w:t>
      </w:r>
      <w:r w:rsidR="00714CA0">
        <w:t>(Form A ve Form B)</w:t>
      </w:r>
      <w:r w:rsidR="00A0244D">
        <w:t xml:space="preserve"> </w:t>
      </w:r>
      <w:r w:rsidR="00C21F5F">
        <w:t>ilgili O</w:t>
      </w:r>
      <w:r w:rsidR="003B4BE1" w:rsidRPr="0084454C">
        <w:t xml:space="preserve">da tarafından muhafaza edilecek olup </w:t>
      </w:r>
      <w:r w:rsidR="009B2C43">
        <w:t xml:space="preserve">Birliğimize iletilmeyecektir. </w:t>
      </w:r>
    </w:p>
    <w:p w:rsidR="00FA0DF8" w:rsidRDefault="009B2C43" w:rsidP="009B2C43">
      <w:pPr>
        <w:pStyle w:val="ListeParagraf"/>
        <w:numPr>
          <w:ilvl w:val="0"/>
          <w:numId w:val="1"/>
        </w:numPr>
        <w:jc w:val="both"/>
      </w:pPr>
      <w:bookmarkStart w:id="1" w:name="OLE_LINK1"/>
      <w:proofErr w:type="gramStart"/>
      <w:r>
        <w:t xml:space="preserve">Başvuru </w:t>
      </w:r>
      <w:r w:rsidR="000367A7">
        <w:t xml:space="preserve">esnasında </w:t>
      </w:r>
      <w:r>
        <w:t>Sigorta Acenteleri</w:t>
      </w:r>
      <w:r w:rsidR="000367A7">
        <w:t>;</w:t>
      </w:r>
      <w:r>
        <w:t xml:space="preserve"> organizasyon şeması, acente merkezi ve acente şubeleri isimli tablolar ile bilgi formlarının doğru olarak tanzim edildiği, söz konusu </w:t>
      </w:r>
      <w:r w:rsidR="008E3104">
        <w:t xml:space="preserve">organizasyon şeması, </w:t>
      </w:r>
      <w:r>
        <w:t>tablo</w:t>
      </w:r>
      <w:r w:rsidR="008E3104">
        <w:t xml:space="preserve">lar ile </w:t>
      </w:r>
      <w:r>
        <w:t xml:space="preserve">bilgi formlarında </w:t>
      </w:r>
      <w:r w:rsidR="008E3104">
        <w:t xml:space="preserve">yer alan bilgilerde </w:t>
      </w:r>
      <w:r>
        <w:t>bir değişiklik olması halinde en geç on işgünü içerisinde ilgili Odaya bildir</w:t>
      </w:r>
      <w:r w:rsidR="008E3104">
        <w:t xml:space="preserve">imde bulunacakları </w:t>
      </w:r>
      <w:r w:rsidR="00FA0DF8">
        <w:t>hususunda</w:t>
      </w:r>
      <w:r w:rsidR="00285DDA">
        <w:t>ki</w:t>
      </w:r>
      <w:r w:rsidR="00FA0DF8">
        <w:t xml:space="preserve"> beyan ve taahhütname</w:t>
      </w:r>
      <w:r w:rsidR="00285DDA">
        <w:t>yi</w:t>
      </w:r>
      <w:r w:rsidR="008E3104">
        <w:t xml:space="preserve"> </w:t>
      </w:r>
      <w:r w:rsidR="00285DDA">
        <w:t>uygunluk belgesi başvurusunda bulundukları Odaya teslim edecektir.</w:t>
      </w:r>
      <w:r w:rsidR="00FA0DF8">
        <w:t xml:space="preserve"> </w:t>
      </w:r>
      <w:proofErr w:type="gramEnd"/>
    </w:p>
    <w:bookmarkEnd w:id="1"/>
    <w:p w:rsidR="00094F90" w:rsidRDefault="00094F90" w:rsidP="00094F90">
      <w:pPr>
        <w:pStyle w:val="ListeParagraf"/>
        <w:numPr>
          <w:ilvl w:val="0"/>
          <w:numId w:val="1"/>
        </w:numPr>
        <w:jc w:val="both"/>
      </w:pPr>
      <w:r>
        <w:t xml:space="preserve">Yetkili Odalara başvuru usulü (e-posta, cd vb.) ilgili oda tarafından belirlenecektir. </w:t>
      </w:r>
    </w:p>
    <w:p w:rsidR="00FA0DF8" w:rsidRDefault="00FA0DF8" w:rsidP="00094F90">
      <w:pPr>
        <w:pStyle w:val="ListeParagraf"/>
        <w:numPr>
          <w:ilvl w:val="0"/>
          <w:numId w:val="1"/>
        </w:numPr>
        <w:jc w:val="both"/>
      </w:pPr>
      <w:r>
        <w:t xml:space="preserve">Gerek görülmesi halinde </w:t>
      </w:r>
      <w:r w:rsidR="00C35DD1">
        <w:t xml:space="preserve">Birliğimiz veya </w:t>
      </w:r>
      <w:r>
        <w:t xml:space="preserve">ilgili Odalar tarafından </w:t>
      </w:r>
      <w:r w:rsidR="00094F90">
        <w:t xml:space="preserve">bu Usul ve Esaslarda belirtilen hususları tevsik edici </w:t>
      </w:r>
      <w:r>
        <w:t>ilave bilgi ve belge talep edilebilecektir.</w:t>
      </w:r>
    </w:p>
    <w:p w:rsidR="00905233" w:rsidRDefault="00FA0DF8" w:rsidP="009B2C43">
      <w:pPr>
        <w:pStyle w:val="ListeParagraf"/>
        <w:numPr>
          <w:ilvl w:val="0"/>
          <w:numId w:val="1"/>
        </w:numPr>
        <w:jc w:val="both"/>
      </w:pPr>
      <w:r>
        <w:t xml:space="preserve">Beyan ve taahhütname ile diğer bilgi ve belgeler </w:t>
      </w:r>
      <w:r w:rsidR="009B2C43">
        <w:t>ilgili acentenin dosyasında</w:t>
      </w:r>
      <w:r w:rsidR="00714CA0">
        <w:t xml:space="preserve"> muhafaza edilecektir. (Excel</w:t>
      </w:r>
      <w:r>
        <w:t xml:space="preserve"> formatındaki tablolar cd, </w:t>
      </w:r>
      <w:proofErr w:type="spellStart"/>
      <w:r>
        <w:t>usb</w:t>
      </w:r>
      <w:proofErr w:type="spellEnd"/>
      <w:r>
        <w:t xml:space="preserve"> bellek gibi araçlar ile muhafaza edilebil</w:t>
      </w:r>
      <w:r w:rsidR="00526A4C">
        <w:t>ecek olup,</w:t>
      </w:r>
      <w:r>
        <w:t xml:space="preserve"> ayrıca çıktı alınmasına mahal bulunmamaktadır.)</w:t>
      </w:r>
    </w:p>
    <w:p w:rsidR="00905233" w:rsidRDefault="00905233" w:rsidP="00905233">
      <w:pPr>
        <w:pStyle w:val="ListeParagraf"/>
        <w:numPr>
          <w:ilvl w:val="0"/>
          <w:numId w:val="1"/>
        </w:numPr>
        <w:jc w:val="both"/>
      </w:pPr>
      <w:r>
        <w:lastRenderedPageBreak/>
        <w:t xml:space="preserve">Müsteşarlık tarafından onaylanmayan mevcut şube bilgileri ilgili acentenin Levha </w:t>
      </w:r>
      <w:r w:rsidR="003B4BE1">
        <w:t xml:space="preserve">kaydından </w:t>
      </w:r>
      <w:r w:rsidR="003B4BE1" w:rsidRPr="0084454C">
        <w:t>silinecek olup şartları sağlaması halinde Müsteşarlık onayını müteakiben kayıt işlemi gerçekleştirilecektir.</w:t>
      </w:r>
    </w:p>
    <w:p w:rsidR="00365CA0" w:rsidRDefault="00094F90" w:rsidP="0016010E">
      <w:pPr>
        <w:pStyle w:val="ListeParagraf"/>
        <w:numPr>
          <w:ilvl w:val="0"/>
          <w:numId w:val="1"/>
        </w:numPr>
        <w:jc w:val="both"/>
      </w:pPr>
      <w:r>
        <w:t>Bildirilen g</w:t>
      </w:r>
      <w:r w:rsidR="00365CA0">
        <w:t xml:space="preserve">enel </w:t>
      </w:r>
      <w:r>
        <w:t>m</w:t>
      </w:r>
      <w:r w:rsidR="00365CA0">
        <w:t>üdür</w:t>
      </w:r>
      <w:r>
        <w:t xml:space="preserve"> ile g</w:t>
      </w:r>
      <w:r w:rsidR="00365CA0">
        <w:t xml:space="preserve">enel </w:t>
      </w:r>
      <w:r>
        <w:t>m</w:t>
      </w:r>
      <w:r w:rsidR="00365CA0">
        <w:t xml:space="preserve">üdür </w:t>
      </w:r>
      <w:r>
        <w:t xml:space="preserve">yardımcısının </w:t>
      </w:r>
      <w:r w:rsidR="00365CA0">
        <w:t xml:space="preserve">ilgili acentenin Levha bilgilerine gerçek kişi acente, tüzel kişi acente müdürü ya da teknik personel olarak kayıtlı olması zorunludur. </w:t>
      </w:r>
    </w:p>
    <w:p w:rsidR="00365CA0" w:rsidRDefault="00365CA0" w:rsidP="0016010E">
      <w:pPr>
        <w:pStyle w:val="ListeParagraf"/>
        <w:numPr>
          <w:ilvl w:val="0"/>
          <w:numId w:val="1"/>
        </w:numPr>
        <w:jc w:val="both"/>
      </w:pPr>
      <w:r>
        <w:t>Bildirilen şube müdürünün ilgili acentenin Levha bilgilerine müdür</w:t>
      </w:r>
      <w:r w:rsidR="00D25C80">
        <w:t xml:space="preserve"> ya da teknik personel</w:t>
      </w:r>
      <w:r>
        <w:t xml:space="preserve"> olarak kayıtlı olması zorunludur.</w:t>
      </w:r>
    </w:p>
    <w:p w:rsidR="00365CA0" w:rsidRDefault="00365CA0" w:rsidP="0016010E">
      <w:pPr>
        <w:pStyle w:val="ListeParagraf"/>
        <w:numPr>
          <w:ilvl w:val="0"/>
          <w:numId w:val="1"/>
        </w:numPr>
        <w:jc w:val="both"/>
      </w:pPr>
      <w:r>
        <w:t>Bildirilen teknik personelin Levha bilgilerine teknik personel olarak kayıtlı olması zorunludur.</w:t>
      </w:r>
    </w:p>
    <w:p w:rsidR="00905233" w:rsidRDefault="00365CA0" w:rsidP="00905233">
      <w:pPr>
        <w:pStyle w:val="ListeParagraf"/>
        <w:numPr>
          <w:ilvl w:val="0"/>
          <w:numId w:val="1"/>
        </w:numPr>
        <w:jc w:val="both"/>
      </w:pPr>
      <w:r>
        <w:t>Mevcut şubelerin onay işlemi esnasında asgari fiziki şart tetkik raporu talep edilecek olup, tetkik raporu bulunmayan ya da tetkik işlemi olumsuz sonuçlanan şubeler</w:t>
      </w:r>
      <w:r w:rsidR="00534396">
        <w:t xml:space="preserve">e ilişkin başvuru “olumsuz” görüş ile gerekçe belirtilerek Birliğimize iletilecektir. </w:t>
      </w:r>
      <w:r w:rsidR="00D25C80">
        <w:t>TOBB-AEKS sisteminde ilgili Oda tarafından tetkik bilgisi girilmiş ise, ayrıca tetkik raporu talep edilmez.</w:t>
      </w:r>
      <w:r w:rsidR="000C4C7B">
        <w:t xml:space="preserve"> Yeni açılacak şubeler için fiziki şart tetkik raporu Müsteşarlığın açılış onayı ve şube tescil işlemlerinden sonra talep edilecektir.</w:t>
      </w:r>
    </w:p>
    <w:p w:rsidR="00365CA0" w:rsidRPr="00A0244D" w:rsidRDefault="000C4C7B" w:rsidP="00F46E4B">
      <w:pPr>
        <w:pStyle w:val="ListeParagraf"/>
        <w:numPr>
          <w:ilvl w:val="0"/>
          <w:numId w:val="1"/>
        </w:numPr>
        <w:jc w:val="both"/>
        <w:rPr>
          <w:bCs/>
        </w:rPr>
      </w:pPr>
      <w:r>
        <w:rPr>
          <w:bCs/>
        </w:rPr>
        <w:t xml:space="preserve">Genel Müdür ve Genel Müdür yardımcılarının Sigorta Acenteleri Yönetmeliğinin 8. maddesinin beşinci fıkrasında belirtilen eğitim ve deneyim şartlarını taşımaları gerekmektedir. </w:t>
      </w:r>
      <w:proofErr w:type="gramStart"/>
      <w:r w:rsidR="00A0244D">
        <w:rPr>
          <w:bCs/>
        </w:rPr>
        <w:t>(</w:t>
      </w:r>
      <w:proofErr w:type="gramEnd"/>
      <w:r w:rsidR="00A0244D">
        <w:rPr>
          <w:bCs/>
        </w:rPr>
        <w:t xml:space="preserve">Sigorta Acenteleri Yönetmeliği 8/5 “… </w:t>
      </w:r>
      <w:r w:rsidR="00A0244D" w:rsidRPr="00A0244D">
        <w:rPr>
          <w:bCs/>
        </w:rPr>
        <w:t xml:space="preserve">Genel müdür için en az 7 yıl, genel müdür yardımcısı için en az 5 yıl sigortacılık mesleki deneyimi, en az dört yıllık </w:t>
      </w:r>
      <w:proofErr w:type="gramStart"/>
      <w:r w:rsidR="00A0244D" w:rsidRPr="00A0244D">
        <w:rPr>
          <w:bCs/>
        </w:rPr>
        <w:t>yüksek öğrenim</w:t>
      </w:r>
      <w:proofErr w:type="gramEnd"/>
      <w:r w:rsidR="00A0244D" w:rsidRPr="00A0244D">
        <w:rPr>
          <w:bCs/>
        </w:rPr>
        <w:t xml:space="preserve"> görmüş olması ve 4 üncü maddenin birinci fıkrasının (a), (b) ve (c) bentlerinde sayılan şartları haiz olması aranır</w:t>
      </w:r>
      <w:r w:rsidR="00A0244D">
        <w:rPr>
          <w:bCs/>
        </w:rPr>
        <w:t>…</w:t>
      </w:r>
      <w:r w:rsidR="00A0244D" w:rsidRPr="00A0244D">
        <w:rPr>
          <w:bCs/>
        </w:rPr>
        <w:t>”)</w:t>
      </w:r>
      <w:r w:rsidR="00A0244D">
        <w:rPr>
          <w:bCs/>
        </w:rPr>
        <w:t xml:space="preserve"> </w:t>
      </w:r>
      <w:r w:rsidR="00A17EB0" w:rsidRPr="0084454C">
        <w:rPr>
          <w:bCs/>
        </w:rPr>
        <w:t>“</w:t>
      </w:r>
      <w:r w:rsidR="003B4BE1" w:rsidRPr="0084454C">
        <w:rPr>
          <w:bCs/>
        </w:rPr>
        <w:t xml:space="preserve">Sigorta Acentelerinin Sermaye Yapısı ve Personelinin Mesleki Deneyimi Konusunda Sektör </w:t>
      </w:r>
      <w:proofErr w:type="spellStart"/>
      <w:r w:rsidR="003B4BE1" w:rsidRPr="0084454C">
        <w:rPr>
          <w:bCs/>
        </w:rPr>
        <w:t>Duyurusu</w:t>
      </w:r>
      <w:r w:rsidR="00A17EB0" w:rsidRPr="0084454C">
        <w:rPr>
          <w:bCs/>
        </w:rPr>
        <w:t>”ndaki</w:t>
      </w:r>
      <w:proofErr w:type="spellEnd"/>
      <w:r w:rsidR="00A17EB0" w:rsidRPr="0084454C">
        <w:rPr>
          <w:bCs/>
        </w:rPr>
        <w:t xml:space="preserve"> mesleki deneyime ilişkin hükümler 31.12.2015 tarihine kadar</w:t>
      </w:r>
      <w:r w:rsidR="003B4BE1" w:rsidRPr="0084454C">
        <w:rPr>
          <w:bCs/>
        </w:rPr>
        <w:t xml:space="preserve"> dikkate alın</w:t>
      </w:r>
      <w:r w:rsidR="00A17EB0" w:rsidRPr="0084454C">
        <w:rPr>
          <w:bCs/>
        </w:rPr>
        <w:t>a</w:t>
      </w:r>
      <w:r w:rsidR="00575DA7">
        <w:rPr>
          <w:bCs/>
        </w:rPr>
        <w:t xml:space="preserve">cak </w:t>
      </w:r>
      <w:r w:rsidR="00575DA7" w:rsidRPr="00050D20">
        <w:rPr>
          <w:bCs/>
        </w:rPr>
        <w:t>olup bu tarihten sonra Yönetmelik hükümleri dikkate alınacaktır.</w:t>
      </w:r>
    </w:p>
    <w:p w:rsidR="006B3D24" w:rsidRPr="006B3D24" w:rsidRDefault="00F7745D" w:rsidP="0016010E">
      <w:pPr>
        <w:pStyle w:val="ListeParagraf"/>
        <w:numPr>
          <w:ilvl w:val="0"/>
          <w:numId w:val="1"/>
        </w:numPr>
        <w:tabs>
          <w:tab w:val="left" w:pos="426"/>
          <w:tab w:val="left" w:pos="851"/>
        </w:tabs>
        <w:spacing w:after="120" w:line="300" w:lineRule="atLeast"/>
        <w:jc w:val="both"/>
      </w:pPr>
      <w:proofErr w:type="gramStart"/>
      <w:r>
        <w:t xml:space="preserve">Genelgenin ekinde yer alan </w:t>
      </w:r>
      <w:r w:rsidR="00A0244D" w:rsidRPr="0084454C">
        <w:t xml:space="preserve">mali müşavir onaylı </w:t>
      </w:r>
      <w:r w:rsidR="00F226D7" w:rsidRPr="0084454C">
        <w:t>m</w:t>
      </w:r>
      <w:r w:rsidRPr="0084454C">
        <w:t xml:space="preserve">ali </w:t>
      </w:r>
      <w:r w:rsidR="00F226D7" w:rsidRPr="0084454C">
        <w:t>t</w:t>
      </w:r>
      <w:r w:rsidR="008B4A2D" w:rsidRPr="0084454C">
        <w:t>ablolar ile mali müşavir onaylı ödenmiş sermaye / malvarlığı beyanında</w:t>
      </w:r>
      <w:r w:rsidRPr="0084454C">
        <w:t xml:space="preserve"> </w:t>
      </w:r>
      <w:r>
        <w:t xml:space="preserve">ilgili acentenin </w:t>
      </w:r>
      <w:proofErr w:type="spellStart"/>
      <w:r w:rsidR="00771745">
        <w:t>özkaynak</w:t>
      </w:r>
      <w:proofErr w:type="spellEnd"/>
      <w:r w:rsidR="00771745">
        <w:t xml:space="preserve"> ile </w:t>
      </w:r>
      <w:r w:rsidR="00D206EC">
        <w:t xml:space="preserve">ödenmiş </w:t>
      </w:r>
      <w:r>
        <w:t>sermaye</w:t>
      </w:r>
      <w:r w:rsidR="006B3D24">
        <w:t>/mal</w:t>
      </w:r>
      <w:r w:rsidR="00771745">
        <w:t>varlığı</w:t>
      </w:r>
      <w:r>
        <w:t xml:space="preserve"> büyüklü</w:t>
      </w:r>
      <w:r w:rsidR="00771745">
        <w:t xml:space="preserve">kleri </w:t>
      </w:r>
      <w:r>
        <w:t xml:space="preserve">ve yapısı </w:t>
      </w:r>
      <w:r w:rsidR="008B4A2D" w:rsidRPr="0084454C">
        <w:t xml:space="preserve">ilgili </w:t>
      </w:r>
      <w:r w:rsidR="00C21F5F">
        <w:t>O</w:t>
      </w:r>
      <w:r w:rsidR="008B4A2D" w:rsidRPr="0084454C">
        <w:t xml:space="preserve">da tarafından </w:t>
      </w:r>
      <w:r>
        <w:t xml:space="preserve">kontrol edilecek </w:t>
      </w:r>
      <w:r w:rsidR="00771745">
        <w:t xml:space="preserve">olup, </w:t>
      </w:r>
      <w:r>
        <w:t xml:space="preserve">şayet ilgili mevzuatta belirtilen şartları (sahip olması gereken asgari </w:t>
      </w:r>
      <w:r w:rsidR="00D206EC">
        <w:t xml:space="preserve">ödenmiş </w:t>
      </w:r>
      <w:r>
        <w:t>sermaye</w:t>
      </w:r>
      <w:r w:rsidR="00771745">
        <w:t>/malvarlığı</w:t>
      </w:r>
      <w:r>
        <w:t xml:space="preserve"> </w:t>
      </w:r>
      <w:r w:rsidR="006B3D24">
        <w:t xml:space="preserve">tutarları </w:t>
      </w:r>
      <w:r>
        <w:t>ile bu tutar</w:t>
      </w:r>
      <w:r w:rsidR="006B3D24">
        <w:t>ların</w:t>
      </w:r>
      <w:r>
        <w:t xml:space="preserve"> %50’sinin nakde kolay dönüştürülebilir </w:t>
      </w:r>
      <w:r w:rsidR="008436B6">
        <w:t>yatırım araçlarından oluşması</w:t>
      </w:r>
      <w:r w:rsidR="006B3D24">
        <w:t xml:space="preserve"> ve </w:t>
      </w:r>
      <w:proofErr w:type="spellStart"/>
      <w:r w:rsidR="006B3D24">
        <w:t>özkaynağın</w:t>
      </w:r>
      <w:proofErr w:type="spellEnd"/>
      <w:r w:rsidR="006B3D24">
        <w:t xml:space="preserve"> en az 300.000 TL olması</w:t>
      </w:r>
      <w:r w:rsidR="008436B6">
        <w:t xml:space="preserve">) </w:t>
      </w:r>
      <w:r>
        <w:t xml:space="preserve"> taşımıyorsa, o acentenin başvurusu </w:t>
      </w:r>
      <w:r w:rsidR="00534396">
        <w:t xml:space="preserve">“olumsuz” görüş ile gerekçe belirtilerek Birliğimize iletilecektir. </w:t>
      </w:r>
      <w:r w:rsidR="008436B6">
        <w:t>(</w:t>
      </w:r>
      <w:proofErr w:type="gramEnd"/>
      <w:r w:rsidR="008436B6">
        <w:t xml:space="preserve">Bu kapsamda, 4 şubesi bulunan bir acentenin </w:t>
      </w:r>
      <w:r w:rsidR="00A0244D">
        <w:t xml:space="preserve">ödenmiş </w:t>
      </w:r>
      <w:r w:rsidR="008436B6">
        <w:t>sermaye</w:t>
      </w:r>
      <w:r w:rsidR="006B3D24">
        <w:t>/malvarlığı</w:t>
      </w:r>
      <w:r w:rsidR="008436B6">
        <w:t xml:space="preserve"> en az 400.000 TL olmalı ve </w:t>
      </w:r>
      <w:r w:rsidR="00A0244D">
        <w:t xml:space="preserve">ödenmiş </w:t>
      </w:r>
      <w:r w:rsidR="008436B6">
        <w:t>sermaye</w:t>
      </w:r>
      <w:r w:rsidR="006B3D24">
        <w:t xml:space="preserve">/malvarlığının </w:t>
      </w:r>
      <w:r w:rsidR="008436B6">
        <w:t>en az 200.000 TL’si n</w:t>
      </w:r>
      <w:r w:rsidR="008436B6" w:rsidRPr="006B3D24">
        <w:rPr>
          <w:bCs/>
        </w:rPr>
        <w:t>akde kolay dönüştürülebilir yatırım araçlarından oluşmalıdır.</w:t>
      </w:r>
      <w:r w:rsidR="006B3D24" w:rsidRPr="006B3D24">
        <w:rPr>
          <w:bCs/>
        </w:rPr>
        <w:t xml:space="preserve"> </w:t>
      </w:r>
      <w:r w:rsidR="006B3D24">
        <w:rPr>
          <w:bCs/>
        </w:rPr>
        <w:t xml:space="preserve">Bu acentenin </w:t>
      </w:r>
      <w:proofErr w:type="spellStart"/>
      <w:r w:rsidR="006B3D24">
        <w:rPr>
          <w:bCs/>
        </w:rPr>
        <w:t>ö</w:t>
      </w:r>
      <w:r w:rsidR="006B3D24" w:rsidRPr="006B3D24">
        <w:rPr>
          <w:bCs/>
        </w:rPr>
        <w:t>zkaynak</w:t>
      </w:r>
      <w:proofErr w:type="spellEnd"/>
      <w:r w:rsidR="006B3D24">
        <w:rPr>
          <w:bCs/>
        </w:rPr>
        <w:t xml:space="preserve"> büyüklüğü </w:t>
      </w:r>
      <w:r w:rsidR="006B3D24" w:rsidRPr="006B3D24">
        <w:rPr>
          <w:bCs/>
        </w:rPr>
        <w:t>ise, en az 300.000 TL olmalıdır.</w:t>
      </w:r>
      <w:proofErr w:type="gramStart"/>
      <w:r w:rsidR="006B3D24" w:rsidRPr="006B3D24">
        <w:rPr>
          <w:bCs/>
        </w:rPr>
        <w:t>)</w:t>
      </w:r>
      <w:proofErr w:type="gramEnd"/>
    </w:p>
    <w:p w:rsidR="008436B6" w:rsidRPr="0041529C" w:rsidRDefault="008436B6" w:rsidP="0016010E">
      <w:pPr>
        <w:pStyle w:val="ListeParagraf"/>
        <w:numPr>
          <w:ilvl w:val="0"/>
          <w:numId w:val="1"/>
        </w:numPr>
        <w:tabs>
          <w:tab w:val="left" w:pos="426"/>
          <w:tab w:val="left" w:pos="851"/>
        </w:tabs>
        <w:spacing w:after="120" w:line="300" w:lineRule="atLeast"/>
        <w:jc w:val="both"/>
      </w:pPr>
      <w:r w:rsidRPr="006B3D24">
        <w:rPr>
          <w:bCs/>
        </w:rPr>
        <w:t>Nakde kolay dönüştürülebilir yatırım araçları</w:t>
      </w:r>
      <w:r w:rsidR="00F226D7">
        <w:rPr>
          <w:bCs/>
        </w:rPr>
        <w:t xml:space="preserve"> olarak her türlü menkul ve menkul kıymet (Örnek olarak;</w:t>
      </w:r>
      <w:r w:rsidRPr="006B3D24">
        <w:rPr>
          <w:bCs/>
        </w:rPr>
        <w:t xml:space="preserve"> </w:t>
      </w:r>
      <w:r w:rsidR="00F46E4B" w:rsidRPr="006B3D24">
        <w:rPr>
          <w:bCs/>
        </w:rPr>
        <w:t>mevduat, devlet iç borçlanma senetleri, katılım belgesi, kira sertifikası,</w:t>
      </w:r>
      <w:r w:rsidRPr="006B3D24">
        <w:rPr>
          <w:bCs/>
        </w:rPr>
        <w:t xml:space="preserve"> yatırım fonları, döviz, altın</w:t>
      </w:r>
      <w:r w:rsidR="00F226D7">
        <w:rPr>
          <w:bCs/>
        </w:rPr>
        <w:t xml:space="preserve">, </w:t>
      </w:r>
      <w:r w:rsidRPr="006B3D24">
        <w:rPr>
          <w:bCs/>
        </w:rPr>
        <w:t>hisse senedi</w:t>
      </w:r>
      <w:r w:rsidR="008B4A2D">
        <w:rPr>
          <w:bCs/>
        </w:rPr>
        <w:t xml:space="preserve"> </w:t>
      </w:r>
      <w:r w:rsidR="008B4A2D" w:rsidRPr="0084454C">
        <w:rPr>
          <w:bCs/>
        </w:rPr>
        <w:t>ve menkuller</w:t>
      </w:r>
      <w:r w:rsidR="00F226D7" w:rsidRPr="0084454C">
        <w:rPr>
          <w:bCs/>
        </w:rPr>
        <w:t xml:space="preserve"> </w:t>
      </w:r>
      <w:r w:rsidR="00F226D7">
        <w:rPr>
          <w:bCs/>
        </w:rPr>
        <w:t xml:space="preserve">vb.) değerlendirilebilir. </w:t>
      </w:r>
      <w:r w:rsidR="00F226D7" w:rsidRPr="006B3D24">
        <w:rPr>
          <w:bCs/>
        </w:rPr>
        <w:t>Nakde kolay dönüştürülebilir yatırım araçları</w:t>
      </w:r>
      <w:r w:rsidR="00F226D7">
        <w:rPr>
          <w:bCs/>
        </w:rPr>
        <w:t xml:space="preserve">ndan geriye kalan ödenmiş sermaye/malvarlığı bölümü için, gayrimenkul de dahil olmak üzere her türlü malvarlığı değerlendirilebilir.  </w:t>
      </w:r>
      <w:r w:rsidRPr="006B3D24">
        <w:rPr>
          <w:bCs/>
        </w:rPr>
        <w:t xml:space="preserve"> </w:t>
      </w:r>
    </w:p>
    <w:p w:rsidR="00B31A63" w:rsidRDefault="008436B6" w:rsidP="0016010E">
      <w:pPr>
        <w:pStyle w:val="ListeParagraf"/>
        <w:numPr>
          <w:ilvl w:val="0"/>
          <w:numId w:val="1"/>
        </w:numPr>
        <w:jc w:val="both"/>
      </w:pPr>
      <w:r>
        <w:t>Acentenin Organizasyon Şeması incelenirken</w:t>
      </w:r>
      <w:r w:rsidR="00F46E4B">
        <w:t>;</w:t>
      </w:r>
      <w:r w:rsidR="00F226D7">
        <w:t xml:space="preserve"> </w:t>
      </w:r>
      <w:r w:rsidR="00285DDA">
        <w:t>g</w:t>
      </w:r>
      <w:r>
        <w:t xml:space="preserve">enel </w:t>
      </w:r>
      <w:r w:rsidR="00285DDA">
        <w:t>m</w:t>
      </w:r>
      <w:r>
        <w:t xml:space="preserve">üdür ve </w:t>
      </w:r>
      <w:r w:rsidR="00285DDA">
        <w:t>g</w:t>
      </w:r>
      <w:r>
        <w:t xml:space="preserve">enel </w:t>
      </w:r>
      <w:r w:rsidR="00285DDA">
        <w:t>m</w:t>
      </w:r>
      <w:r>
        <w:t xml:space="preserve">üdür </w:t>
      </w:r>
      <w:r w:rsidR="00285DDA">
        <w:t>y</w:t>
      </w:r>
      <w:r>
        <w:t>ardımcısının bulunup bulunmadığı</w:t>
      </w:r>
      <w:r w:rsidR="0001536B">
        <w:t>,</w:t>
      </w:r>
      <w:r>
        <w:t xml:space="preserve"> bu kişilerin </w:t>
      </w:r>
      <w:r w:rsidR="0001536B">
        <w:t xml:space="preserve">ilgili mevzuatta belirtilen şartlara haiz olup olmadığı ve </w:t>
      </w:r>
      <w:r>
        <w:t>ilgili acentenin Levha bilgilerine kayıtlı olup olmadığı</w:t>
      </w:r>
      <w:r w:rsidR="006B3D24">
        <w:t xml:space="preserve"> kontrol edilecektir.</w:t>
      </w:r>
      <w:r w:rsidR="00F226D7">
        <w:t xml:space="preserve"> </w:t>
      </w:r>
      <w:r w:rsidR="00771745">
        <w:t>Sigorta acenteleri talep etmeleri halinde birden fazla birim müdürlüğü oluşturabilir</w:t>
      </w:r>
      <w:r w:rsidR="006B3D24">
        <w:t xml:space="preserve"> </w:t>
      </w:r>
      <w:r w:rsidR="00B811D6">
        <w:t xml:space="preserve">ve </w:t>
      </w:r>
      <w:r w:rsidR="00575DA7" w:rsidRPr="00050D20">
        <w:t xml:space="preserve">birden fazla </w:t>
      </w:r>
      <w:r w:rsidR="006B3D24">
        <w:t>genel müdür yardımcısı görevlendirebilir.</w:t>
      </w:r>
      <w:r w:rsidR="00771745">
        <w:t xml:space="preserve"> </w:t>
      </w:r>
    </w:p>
    <w:p w:rsidR="00B31A63" w:rsidRDefault="00B31A63" w:rsidP="00B31A63">
      <w:pPr>
        <w:pStyle w:val="ListeParagraf"/>
        <w:jc w:val="both"/>
      </w:pPr>
    </w:p>
    <w:p w:rsidR="0016010E" w:rsidRDefault="0016010E" w:rsidP="0016010E">
      <w:pPr>
        <w:pStyle w:val="ListeParagraf"/>
        <w:numPr>
          <w:ilvl w:val="0"/>
          <w:numId w:val="1"/>
        </w:numPr>
        <w:jc w:val="both"/>
      </w:pPr>
      <w:proofErr w:type="gramStart"/>
      <w:r>
        <w:lastRenderedPageBreak/>
        <w:t>Acente Merkezi isimli tablo</w:t>
      </w:r>
      <w:r w:rsidR="00C919E7">
        <w:t xml:space="preserve"> </w:t>
      </w:r>
      <w:r w:rsidR="00C919E7" w:rsidRPr="0084454C">
        <w:t xml:space="preserve">ilgili </w:t>
      </w:r>
      <w:r w:rsidR="00C21F5F" w:rsidRPr="0084454C">
        <w:t>O</w:t>
      </w:r>
      <w:r w:rsidR="00C919E7" w:rsidRPr="0084454C">
        <w:t>da tarafından</w:t>
      </w:r>
      <w:r w:rsidRPr="0084454C">
        <w:t xml:space="preserve"> </w:t>
      </w:r>
      <w:r>
        <w:t>incelenirken genel müdür ve genel müdür yardımcılarının organizasyon şemasında belirtilen kişiler olup olmadığı</w:t>
      </w:r>
      <w:r w:rsidR="006B3D24">
        <w:t xml:space="preserve">, organizasyon yapısının </w:t>
      </w:r>
      <w:r w:rsidR="006559D4">
        <w:t>18</w:t>
      </w:r>
      <w:r w:rsidR="006B3D24">
        <w:t xml:space="preserve"> </w:t>
      </w:r>
      <w:r w:rsidR="006559D4">
        <w:t xml:space="preserve">inci </w:t>
      </w:r>
      <w:r w:rsidR="006B3D24">
        <w:t xml:space="preserve">maddede belirtilen şartları taşıyıp taşımadığı </w:t>
      </w:r>
      <w:r>
        <w:t xml:space="preserve">ve acente </w:t>
      </w:r>
      <w:r w:rsidR="006559D4">
        <w:t xml:space="preserve">ödenmiş </w:t>
      </w:r>
      <w:r>
        <w:t>sermaye</w:t>
      </w:r>
      <w:r w:rsidR="006B3D24">
        <w:t xml:space="preserve">/malvarlığı ile </w:t>
      </w:r>
      <w:proofErr w:type="spellStart"/>
      <w:r w:rsidR="006B3D24">
        <w:t>özkaynak</w:t>
      </w:r>
      <w:proofErr w:type="spellEnd"/>
      <w:r w:rsidR="006B3D24">
        <w:t xml:space="preserve"> büyüklüğünün</w:t>
      </w:r>
      <w:r>
        <w:t xml:space="preserve"> </w:t>
      </w:r>
      <w:r w:rsidR="006559D4">
        <w:t xml:space="preserve">(ödenmiş sermaye/malvarlığı uygunluğu ile </w:t>
      </w:r>
      <w:proofErr w:type="spellStart"/>
      <w:r w:rsidR="006559D4">
        <w:t>özkaynak</w:t>
      </w:r>
      <w:proofErr w:type="spellEnd"/>
      <w:r w:rsidR="006559D4">
        <w:t xml:space="preserve"> büyüklüğü kontrolü </w:t>
      </w:r>
      <w:r w:rsidR="006559D4" w:rsidRPr="0084454C">
        <w:t>mali müşavir onaylı mali tablo</w:t>
      </w:r>
      <w:r w:rsidR="008B4A2D" w:rsidRPr="0084454C">
        <w:t xml:space="preserve">lar ile mali müşavir onaylı ödenmiş sermaye / malvarlığı beyanından </w:t>
      </w:r>
      <w:r w:rsidR="006559D4">
        <w:t xml:space="preserve">yapılacaktır.) </w:t>
      </w:r>
      <w:r>
        <w:t xml:space="preserve">ilgili mevzuata uygun olup olmadığı kontrol edilecektir. </w:t>
      </w:r>
      <w:proofErr w:type="gramEnd"/>
      <w:r>
        <w:t xml:space="preserve">Belirtilen şartlarda eksiklik olması halinde acente başvurusu “olumsuz” görüş ile gerekçe belirtilerek Birliğimize iletilecektir.  </w:t>
      </w:r>
    </w:p>
    <w:p w:rsidR="00DA0F31" w:rsidRDefault="0016010E" w:rsidP="0016010E">
      <w:pPr>
        <w:pStyle w:val="ListeParagraf"/>
        <w:numPr>
          <w:ilvl w:val="0"/>
          <w:numId w:val="1"/>
        </w:numPr>
        <w:jc w:val="both"/>
      </w:pPr>
      <w:r>
        <w:t>Acente Şubeleri isimli tablo</w:t>
      </w:r>
      <w:r w:rsidR="00C919E7">
        <w:t xml:space="preserve"> </w:t>
      </w:r>
      <w:r w:rsidR="00C919E7" w:rsidRPr="0084454C">
        <w:t xml:space="preserve">ilgili </w:t>
      </w:r>
      <w:r w:rsidR="00C21F5F">
        <w:t>O</w:t>
      </w:r>
      <w:r w:rsidR="00C919E7" w:rsidRPr="0084454C">
        <w:t>da tarafından</w:t>
      </w:r>
      <w:r>
        <w:t xml:space="preserve"> incelenirken şube müdürü ile teknik personelin şartlara haiz olup olmadığı, </w:t>
      </w:r>
      <w:proofErr w:type="gramStart"/>
      <w:r>
        <w:t>ikametgahının</w:t>
      </w:r>
      <w:proofErr w:type="gramEnd"/>
      <w:r>
        <w:t xml:space="preserve"> (Levha bilgilerindeki ikametgah adresi) acente şubesi ile aynı ilde olup olmadığı ve bu kişilerin ilgili acentenin Levha bilgilerine kayıtlı olup olmadığı kontrol edilecektir.  Herhangi bir şubede, anılan şartlarda eksiklik olması halinde </w:t>
      </w:r>
      <w:r w:rsidRPr="0016010E">
        <w:rPr>
          <w:b/>
          <w:u w:val="single"/>
        </w:rPr>
        <w:t>ilgili şube</w:t>
      </w:r>
      <w:r>
        <w:t xml:space="preserve"> başvurusu “olumsuz” görüş ile gerekçe belirtilerek Birliğimize iletilecektir.  </w:t>
      </w:r>
    </w:p>
    <w:p w:rsidR="006C571E" w:rsidRPr="0084454C" w:rsidRDefault="006C571E" w:rsidP="006C571E">
      <w:pPr>
        <w:pStyle w:val="ListeParagraf"/>
        <w:numPr>
          <w:ilvl w:val="0"/>
          <w:numId w:val="1"/>
        </w:numPr>
        <w:jc w:val="both"/>
      </w:pPr>
      <w:r w:rsidRPr="0084454C">
        <w:t>Gerçek kişi acentelerde genel müdür ve genel m</w:t>
      </w:r>
      <w:r w:rsidR="008436B6" w:rsidRPr="0084454C">
        <w:t>üdür</w:t>
      </w:r>
      <w:r w:rsidRPr="0084454C">
        <w:t xml:space="preserve"> yardımcısı</w:t>
      </w:r>
      <w:r w:rsidR="007B7AD4" w:rsidRPr="0084454C">
        <w:t xml:space="preserve"> ticari mümessil veya ticari vekil olarak atanmak zorundadır. Tüzel kişi acentelerde bu kişilerin ticaret siciline tescili zorunludur.</w:t>
      </w:r>
      <w:r w:rsidR="006559D4" w:rsidRPr="0084454C">
        <w:t xml:space="preserve"> </w:t>
      </w:r>
    </w:p>
    <w:p w:rsidR="0068446F" w:rsidRDefault="008436B6" w:rsidP="0016010E">
      <w:pPr>
        <w:pStyle w:val="ListeParagraf"/>
        <w:numPr>
          <w:ilvl w:val="0"/>
          <w:numId w:val="1"/>
        </w:numPr>
        <w:jc w:val="both"/>
      </w:pPr>
      <w:r>
        <w:t>Sigorta acentelerinde görev yapan genel müdür</w:t>
      </w:r>
      <w:r w:rsidR="006B3D24">
        <w:t>,</w:t>
      </w:r>
      <w:r>
        <w:t xml:space="preserve"> genel müdür yardımcı</w:t>
      </w:r>
      <w:r w:rsidR="006B3D24">
        <w:t xml:space="preserve">sı </w:t>
      </w:r>
      <w:r>
        <w:t xml:space="preserve">merkezin bulunduğu ilde, şube müdürünün ise, </w:t>
      </w:r>
      <w:r w:rsidR="0068446F">
        <w:t xml:space="preserve">müdürlüğünü yaptığı şubenin bulunduğu ilde ikamet etmesi zorunludur. Ayrıca, Genelgenin </w:t>
      </w:r>
      <w:proofErr w:type="gramStart"/>
      <w:r w:rsidR="0068446F">
        <w:t>5.2</w:t>
      </w:r>
      <w:proofErr w:type="gramEnd"/>
      <w:r w:rsidR="0068446F">
        <w:t>. maddesi kapsamında da işlem yapılması mümkündür.</w:t>
      </w:r>
    </w:p>
    <w:p w:rsidR="006B3D24" w:rsidRDefault="006B3D24" w:rsidP="006B3D24">
      <w:pPr>
        <w:pStyle w:val="ListeParagraf"/>
        <w:numPr>
          <w:ilvl w:val="0"/>
          <w:numId w:val="1"/>
        </w:numPr>
        <w:jc w:val="both"/>
      </w:pPr>
      <w:r>
        <w:t>Bir kişi sadece bir Sigorta Acentesinde genel müdür, genel müdür yardımcısı</w:t>
      </w:r>
      <w:r w:rsidR="00383CE9">
        <w:t xml:space="preserve"> ve</w:t>
      </w:r>
      <w:r w:rsidR="005117D1">
        <w:t xml:space="preserve"> şube müdürü</w:t>
      </w:r>
      <w:r>
        <w:t xml:space="preserve"> olarak görevlendirilebilir. Bu kişi, gerçek kişi sigorta acenteliği faaliyetinde bulunamayacağı gibi, aynı ya da farklı bir acentede</w:t>
      </w:r>
      <w:r w:rsidR="005117D1">
        <w:t>;</w:t>
      </w:r>
      <w:r>
        <w:t xml:space="preserve"> </w:t>
      </w:r>
      <w:r w:rsidR="005117D1">
        <w:t xml:space="preserve">genel müdür, genel müdür yardımcısı, şube müdürü, </w:t>
      </w:r>
      <w:r>
        <w:t xml:space="preserve">müdür veya teknik personel olamaz. </w:t>
      </w:r>
    </w:p>
    <w:p w:rsidR="00B75CDE" w:rsidRDefault="00B75CDE" w:rsidP="0016010E">
      <w:pPr>
        <w:pStyle w:val="ListeParagraf"/>
        <w:numPr>
          <w:ilvl w:val="0"/>
          <w:numId w:val="1"/>
        </w:numPr>
        <w:jc w:val="both"/>
      </w:pPr>
      <w:r>
        <w:t xml:space="preserve">Mesafeli satış yapan acenteler </w:t>
      </w:r>
      <w:r w:rsidR="00011B0A" w:rsidRPr="0084454C">
        <w:t xml:space="preserve">uygunluk belgesi başvurusunda bulundukları Odalara </w:t>
      </w:r>
      <w:r>
        <w:t xml:space="preserve">sadece </w:t>
      </w:r>
      <w:r w:rsidR="00011B0A" w:rsidRPr="0084454C">
        <w:rPr>
          <w:b/>
        </w:rPr>
        <w:t>mali müşavir onaylı mali tablolar ile mali müşavir onaylı ödenmiş sermaye / malvarlığı beyanını</w:t>
      </w:r>
      <w:r w:rsidR="00011B0A" w:rsidRPr="0084454C">
        <w:t xml:space="preserve"> teslim edecek</w:t>
      </w:r>
      <w:r w:rsidRPr="0084454C">
        <w:t xml:space="preserve"> olup</w:t>
      </w:r>
      <w:r w:rsidR="00011B0A" w:rsidRPr="0084454C">
        <w:t>,</w:t>
      </w:r>
      <w:r w:rsidRPr="0084454C">
        <w:t xml:space="preserve"> </w:t>
      </w:r>
      <w:r>
        <w:t xml:space="preserve">bu </w:t>
      </w:r>
      <w:proofErr w:type="gramStart"/>
      <w:r>
        <w:t xml:space="preserve">tablolar </w:t>
      </w:r>
      <w:r w:rsidR="00011B0A">
        <w:t xml:space="preserve"> ödenmiş</w:t>
      </w:r>
      <w:proofErr w:type="gramEnd"/>
      <w:r w:rsidR="00011B0A">
        <w:t xml:space="preserve"> </w:t>
      </w:r>
      <w:r>
        <w:t>sermaye</w:t>
      </w:r>
      <w:r w:rsidR="005117D1">
        <w:t xml:space="preserve">/malvarlığı ve </w:t>
      </w:r>
      <w:proofErr w:type="spellStart"/>
      <w:r w:rsidR="005117D1">
        <w:t>özkaynak</w:t>
      </w:r>
      <w:proofErr w:type="spellEnd"/>
      <w:r w:rsidR="005117D1">
        <w:t xml:space="preserve"> yeterliliği</w:t>
      </w:r>
      <w:r>
        <w:t xml:space="preserve"> açısından değerlendirilecektir.</w:t>
      </w:r>
    </w:p>
    <w:p w:rsidR="00707C0A" w:rsidRDefault="00707C0A" w:rsidP="0016010E">
      <w:pPr>
        <w:pStyle w:val="ListeParagraf"/>
        <w:jc w:val="both"/>
      </w:pPr>
    </w:p>
    <w:p w:rsidR="00D27C78" w:rsidRDefault="00D27C78" w:rsidP="0016010E">
      <w:pPr>
        <w:pStyle w:val="ListeParagraf"/>
        <w:jc w:val="both"/>
      </w:pPr>
    </w:p>
    <w:p w:rsidR="00C21F5F" w:rsidRDefault="00C21F5F" w:rsidP="0016010E">
      <w:pPr>
        <w:pStyle w:val="ListeParagraf"/>
        <w:jc w:val="both"/>
      </w:pPr>
    </w:p>
    <w:p w:rsidR="00B31A63" w:rsidRDefault="00B31A63" w:rsidP="0016010E">
      <w:pPr>
        <w:pStyle w:val="ListeParagraf"/>
        <w:jc w:val="both"/>
      </w:pPr>
    </w:p>
    <w:p w:rsidR="00D27C78" w:rsidRDefault="00D27C78" w:rsidP="0016010E">
      <w:pPr>
        <w:pStyle w:val="ListeParagraf"/>
        <w:jc w:val="both"/>
      </w:pPr>
    </w:p>
    <w:p w:rsidR="00D27C78" w:rsidRDefault="00D27C78" w:rsidP="0016010E">
      <w:pPr>
        <w:pStyle w:val="ListeParagraf"/>
        <w:jc w:val="both"/>
      </w:pPr>
    </w:p>
    <w:p w:rsidR="00D27C78" w:rsidRPr="00D27C78" w:rsidRDefault="00D27C78" w:rsidP="00D27C78">
      <w:pPr>
        <w:pStyle w:val="ListeParagraf"/>
        <w:ind w:left="284"/>
        <w:jc w:val="both"/>
        <w:rPr>
          <w:b/>
          <w:u w:val="single"/>
        </w:rPr>
      </w:pPr>
      <w:r w:rsidRPr="00D27C78">
        <w:rPr>
          <w:b/>
          <w:u w:val="single"/>
        </w:rPr>
        <w:t>Ekler:</w:t>
      </w:r>
    </w:p>
    <w:p w:rsidR="00D27C78" w:rsidRDefault="00D27C78" w:rsidP="00D27C78">
      <w:pPr>
        <w:pStyle w:val="ListeParagraf"/>
        <w:numPr>
          <w:ilvl w:val="0"/>
          <w:numId w:val="6"/>
        </w:numPr>
        <w:ind w:left="709"/>
        <w:jc w:val="both"/>
      </w:pPr>
      <w:r>
        <w:t>Acente Organizasyon Şeması</w:t>
      </w:r>
    </w:p>
    <w:p w:rsidR="00D27C78" w:rsidRDefault="00D27C78" w:rsidP="00D27C78">
      <w:pPr>
        <w:pStyle w:val="ListeParagraf"/>
        <w:numPr>
          <w:ilvl w:val="0"/>
          <w:numId w:val="6"/>
        </w:numPr>
        <w:ind w:left="709"/>
        <w:jc w:val="both"/>
      </w:pPr>
      <w:r>
        <w:t>Acente Merkezi Tablosu</w:t>
      </w:r>
    </w:p>
    <w:p w:rsidR="00D27C78" w:rsidRDefault="00D27C78" w:rsidP="00D27C78">
      <w:pPr>
        <w:pStyle w:val="ListeParagraf"/>
        <w:numPr>
          <w:ilvl w:val="0"/>
          <w:numId w:val="6"/>
        </w:numPr>
        <w:ind w:left="709"/>
        <w:jc w:val="both"/>
      </w:pPr>
      <w:r>
        <w:t>Acente Şubesi Tablosu</w:t>
      </w:r>
    </w:p>
    <w:p w:rsidR="00D27C78" w:rsidRDefault="00D27C78" w:rsidP="00D27C78">
      <w:pPr>
        <w:pStyle w:val="ListeParagraf"/>
        <w:numPr>
          <w:ilvl w:val="0"/>
          <w:numId w:val="6"/>
        </w:numPr>
        <w:ind w:left="709"/>
        <w:jc w:val="both"/>
      </w:pPr>
      <w:r>
        <w:t>Form A</w:t>
      </w:r>
    </w:p>
    <w:p w:rsidR="00D27C78" w:rsidRDefault="00D27C78" w:rsidP="00D27C78">
      <w:pPr>
        <w:pStyle w:val="ListeParagraf"/>
        <w:numPr>
          <w:ilvl w:val="0"/>
          <w:numId w:val="6"/>
        </w:numPr>
        <w:ind w:left="709"/>
        <w:jc w:val="both"/>
      </w:pPr>
      <w:r>
        <w:t>Form B</w:t>
      </w:r>
    </w:p>
    <w:sectPr w:rsidR="00D27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2096F"/>
    <w:multiLevelType w:val="hybridMultilevel"/>
    <w:tmpl w:val="D71038BC"/>
    <w:lvl w:ilvl="0" w:tplc="E982D124">
      <w:start w:val="1"/>
      <w:numFmt w:val="lowerLetter"/>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
    <w:nsid w:val="20E11ECE"/>
    <w:multiLevelType w:val="hybridMultilevel"/>
    <w:tmpl w:val="439063EE"/>
    <w:lvl w:ilvl="0" w:tplc="8CF4034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26BE7522"/>
    <w:multiLevelType w:val="hybridMultilevel"/>
    <w:tmpl w:val="8A72A9FA"/>
    <w:lvl w:ilvl="0" w:tplc="B4D8537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29427185"/>
    <w:multiLevelType w:val="hybridMultilevel"/>
    <w:tmpl w:val="251AC26E"/>
    <w:lvl w:ilvl="0" w:tplc="9E5233B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88A4393"/>
    <w:multiLevelType w:val="hybridMultilevel"/>
    <w:tmpl w:val="F370AFB8"/>
    <w:lvl w:ilvl="0" w:tplc="1B2258EE">
      <w:start w:val="1"/>
      <w:numFmt w:val="upperRoman"/>
      <w:lvlText w:val="%1."/>
      <w:lvlJc w:val="left"/>
      <w:pPr>
        <w:ind w:left="1571"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nsid w:val="78CD2F3A"/>
    <w:multiLevelType w:val="hybridMultilevel"/>
    <w:tmpl w:val="9DDECE50"/>
    <w:lvl w:ilvl="0" w:tplc="82C0A25E">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CA0"/>
    <w:rsid w:val="00011B0A"/>
    <w:rsid w:val="0001536B"/>
    <w:rsid w:val="000367A7"/>
    <w:rsid w:val="00050D20"/>
    <w:rsid w:val="00094F90"/>
    <w:rsid w:val="000C4C7B"/>
    <w:rsid w:val="0016010E"/>
    <w:rsid w:val="001E2660"/>
    <w:rsid w:val="00285DDA"/>
    <w:rsid w:val="002D0A38"/>
    <w:rsid w:val="00365CA0"/>
    <w:rsid w:val="00383CE9"/>
    <w:rsid w:val="003B4BE1"/>
    <w:rsid w:val="00452616"/>
    <w:rsid w:val="004F443D"/>
    <w:rsid w:val="005117D1"/>
    <w:rsid w:val="00526A4C"/>
    <w:rsid w:val="00534396"/>
    <w:rsid w:val="00575DA7"/>
    <w:rsid w:val="005A30DB"/>
    <w:rsid w:val="005B3946"/>
    <w:rsid w:val="006559D4"/>
    <w:rsid w:val="0068446F"/>
    <w:rsid w:val="006B3D24"/>
    <w:rsid w:val="006C571E"/>
    <w:rsid w:val="006E5CCF"/>
    <w:rsid w:val="00707C0A"/>
    <w:rsid w:val="00714CA0"/>
    <w:rsid w:val="00771745"/>
    <w:rsid w:val="007A5D70"/>
    <w:rsid w:val="007B7AD4"/>
    <w:rsid w:val="00817442"/>
    <w:rsid w:val="00822B28"/>
    <w:rsid w:val="008436B6"/>
    <w:rsid w:val="0084454C"/>
    <w:rsid w:val="0086371E"/>
    <w:rsid w:val="008B4A2D"/>
    <w:rsid w:val="008E3104"/>
    <w:rsid w:val="008E6743"/>
    <w:rsid w:val="00905233"/>
    <w:rsid w:val="009261C4"/>
    <w:rsid w:val="00993B49"/>
    <w:rsid w:val="009B2C43"/>
    <w:rsid w:val="00A0244D"/>
    <w:rsid w:val="00A17EB0"/>
    <w:rsid w:val="00A97BAB"/>
    <w:rsid w:val="00AC6823"/>
    <w:rsid w:val="00AD63AA"/>
    <w:rsid w:val="00B2380D"/>
    <w:rsid w:val="00B31A63"/>
    <w:rsid w:val="00B57519"/>
    <w:rsid w:val="00B74248"/>
    <w:rsid w:val="00B749B8"/>
    <w:rsid w:val="00B75CDE"/>
    <w:rsid w:val="00B811D6"/>
    <w:rsid w:val="00BD6AD9"/>
    <w:rsid w:val="00BF4506"/>
    <w:rsid w:val="00C21F5F"/>
    <w:rsid w:val="00C35DD1"/>
    <w:rsid w:val="00C919E7"/>
    <w:rsid w:val="00D206EC"/>
    <w:rsid w:val="00D25C80"/>
    <w:rsid w:val="00D27C78"/>
    <w:rsid w:val="00D8004C"/>
    <w:rsid w:val="00DA0F31"/>
    <w:rsid w:val="00EF7264"/>
    <w:rsid w:val="00F05C1E"/>
    <w:rsid w:val="00F226D7"/>
    <w:rsid w:val="00F46E4B"/>
    <w:rsid w:val="00F7745D"/>
    <w:rsid w:val="00FA0D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5CA0"/>
    <w:pPr>
      <w:ind w:left="720"/>
      <w:contextualSpacing/>
    </w:pPr>
  </w:style>
  <w:style w:type="character" w:styleId="Kpr">
    <w:name w:val="Hyperlink"/>
    <w:basedOn w:val="VarsaylanParagrafYazTipi"/>
    <w:uiPriority w:val="99"/>
    <w:unhideWhenUsed/>
    <w:rsid w:val="00DA0F31"/>
    <w:rPr>
      <w:color w:val="0000FF" w:themeColor="hyperlink"/>
      <w:u w:val="single"/>
    </w:rPr>
  </w:style>
  <w:style w:type="paragraph" w:styleId="BalonMetni">
    <w:name w:val="Balloon Text"/>
    <w:basedOn w:val="Normal"/>
    <w:link w:val="BalonMetniChar"/>
    <w:uiPriority w:val="99"/>
    <w:semiHidden/>
    <w:unhideWhenUsed/>
    <w:rsid w:val="00C21F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21F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5CA0"/>
    <w:pPr>
      <w:ind w:left="720"/>
      <w:contextualSpacing/>
    </w:pPr>
  </w:style>
  <w:style w:type="character" w:styleId="Kpr">
    <w:name w:val="Hyperlink"/>
    <w:basedOn w:val="VarsaylanParagrafYazTipi"/>
    <w:uiPriority w:val="99"/>
    <w:unhideWhenUsed/>
    <w:rsid w:val="00DA0F31"/>
    <w:rPr>
      <w:color w:val="0000FF" w:themeColor="hyperlink"/>
      <w:u w:val="single"/>
    </w:rPr>
  </w:style>
  <w:style w:type="paragraph" w:styleId="BalonMetni">
    <w:name w:val="Balloon Text"/>
    <w:basedOn w:val="Normal"/>
    <w:link w:val="BalonMetniChar"/>
    <w:uiPriority w:val="99"/>
    <w:semiHidden/>
    <w:unhideWhenUsed/>
    <w:rsid w:val="00C21F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21F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ortacilik@tobb.org.tr" TargetMode="External"/><Relationship Id="rId3" Type="http://schemas.openxmlformats.org/officeDocument/2006/relationships/styles" Target="styles.xml"/><Relationship Id="rId7" Type="http://schemas.openxmlformats.org/officeDocument/2006/relationships/hyperlink" Target="http://www.sigorta.org.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AFCB4-A8E0-4812-9B1E-EF1ED9FF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1440</Words>
  <Characters>8214</Characters>
  <Application>Microsoft Office Word</Application>
  <DocSecurity>0</DocSecurity>
  <Lines>68</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Hazine Müsteşarlığı</Company>
  <LinksUpToDate>false</LinksUpToDate>
  <CharactersWithSpaces>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HUSEYIN GUZEL</dc:creator>
  <cp:lastModifiedBy>tobb</cp:lastModifiedBy>
  <cp:revision>8</cp:revision>
  <cp:lastPrinted>2015-04-15T13:43:00Z</cp:lastPrinted>
  <dcterms:created xsi:type="dcterms:W3CDTF">2015-04-16T07:57:00Z</dcterms:created>
  <dcterms:modified xsi:type="dcterms:W3CDTF">2015-04-17T08:25:00Z</dcterms:modified>
</cp:coreProperties>
</file>