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91" w:rsidRPr="00006BB5" w:rsidRDefault="005A6A91" w:rsidP="005A6A91">
      <w:pPr>
        <w:spacing w:line="340" w:lineRule="exact"/>
        <w:jc w:val="right"/>
        <w:rPr>
          <w:rFonts w:ascii="Times New Roman" w:hAnsi="Times New Roman"/>
          <w:b/>
          <w:sz w:val="24"/>
          <w:szCs w:val="24"/>
        </w:rPr>
      </w:pPr>
      <w:r w:rsidRPr="00006BB5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006BB5">
        <w:rPr>
          <w:rFonts w:ascii="Times New Roman" w:hAnsi="Times New Roman"/>
          <w:b/>
          <w:sz w:val="24"/>
          <w:szCs w:val="24"/>
        </w:rPr>
        <w:t>Değişik:RG</w:t>
      </w:r>
      <w:proofErr w:type="gramEnd"/>
      <w:r w:rsidRPr="00006BB5">
        <w:rPr>
          <w:rFonts w:ascii="Times New Roman" w:hAnsi="Times New Roman"/>
          <w:b/>
          <w:sz w:val="24"/>
          <w:szCs w:val="24"/>
        </w:rPr>
        <w:t>-16/1/2016-29595)</w:t>
      </w:r>
      <w:r w:rsidRPr="00006BB5">
        <w:rPr>
          <w:rFonts w:ascii="Times New Roman" w:hAnsi="Times New Roman"/>
          <w:b/>
          <w:sz w:val="24"/>
          <w:szCs w:val="24"/>
          <w:vertAlign w:val="superscript"/>
        </w:rPr>
        <w:t>(1)</w:t>
      </w:r>
      <w:r w:rsidRPr="00006BB5">
        <w:rPr>
          <w:rFonts w:ascii="Times New Roman" w:hAnsi="Times New Roman"/>
          <w:b/>
          <w:sz w:val="24"/>
          <w:szCs w:val="24"/>
        </w:rPr>
        <w:t xml:space="preserve"> Ek-1</w:t>
      </w:r>
    </w:p>
    <w:p w:rsidR="005A6A91" w:rsidRDefault="005A6A91" w:rsidP="005A6A91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  <w:r w:rsidRPr="00006BB5">
        <w:rPr>
          <w:rFonts w:ascii="Times New Roman" w:hAnsi="Times New Roman"/>
          <w:b/>
          <w:sz w:val="20"/>
          <w:szCs w:val="20"/>
        </w:rPr>
        <w:t>SİGORTA ACENTESİ ÇALIŞANLARI ÖĞRENİM DÜZEYİ VE ASGARİ MESLEKİ DENEYİM SÜRELERİ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7"/>
        <w:gridCol w:w="3954"/>
        <w:gridCol w:w="2331"/>
      </w:tblGrid>
      <w:tr w:rsidR="005A6A91" w:rsidRPr="005A6A91" w:rsidTr="005A6A91">
        <w:trPr>
          <w:trHeight w:val="539"/>
        </w:trPr>
        <w:tc>
          <w:tcPr>
            <w:tcW w:w="4361" w:type="dxa"/>
            <w:vAlign w:val="center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6952" w:type="dxa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ÖĞRENİM DÜZEYİ</w:t>
            </w:r>
          </w:p>
        </w:tc>
        <w:tc>
          <w:tcPr>
            <w:tcW w:w="2971" w:type="dxa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MESLEKİ DENEYİM SÜRESİ</w:t>
            </w:r>
          </w:p>
        </w:tc>
      </w:tr>
      <w:tr w:rsidR="005A6A91" w:rsidRPr="00006BB5" w:rsidTr="000F2E0B">
        <w:trPr>
          <w:trHeight w:val="342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Teknik Personel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1 yıl</w:t>
            </w:r>
          </w:p>
        </w:tc>
      </w:tr>
      <w:tr w:rsidR="005A6A91" w:rsidRPr="00006BB5" w:rsidTr="000F2E0B">
        <w:trPr>
          <w:trHeight w:val="63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 (müfredatında sigortacılıkla ilgili konulara yer verilen lise dengi mesleki ve teknik eğitim okulları)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369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 (teknik personel kamu istihdam programı)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35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449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 xml:space="preserve">İki yıllık yüksekokul (sigortacılıkla ilgili bölümler*) 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44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356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Gerçek Kişi Acente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Tüzel Kişi Acente Müdürü</w:t>
            </w:r>
          </w:p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2 yıl</w:t>
            </w:r>
          </w:p>
        </w:tc>
      </w:tr>
      <w:tr w:rsidR="005A6A91" w:rsidRPr="00006BB5" w:rsidTr="000F2E0B">
        <w:trPr>
          <w:trHeight w:val="314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1 yıl 6 ay</w:t>
            </w:r>
          </w:p>
        </w:tc>
      </w:tr>
      <w:tr w:rsidR="005A6A91" w:rsidRPr="00006BB5" w:rsidTr="000F2E0B">
        <w:trPr>
          <w:trHeight w:val="19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209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Genel Müdür (Şube Şeklinde Faaliyet Gösteren Acenteler İçin)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7 yıl</w:t>
            </w:r>
          </w:p>
        </w:tc>
      </w:tr>
      <w:tr w:rsidR="005A6A91" w:rsidRPr="00006BB5" w:rsidTr="000F2E0B">
        <w:trPr>
          <w:trHeight w:val="27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yıl</w:t>
            </w:r>
          </w:p>
        </w:tc>
      </w:tr>
      <w:tr w:rsidR="005A6A91" w:rsidRPr="00006BB5" w:rsidTr="000F2E0B">
        <w:trPr>
          <w:trHeight w:val="206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5 yıl</w:t>
            </w:r>
          </w:p>
        </w:tc>
      </w:tr>
      <w:tr w:rsidR="005A6A91" w:rsidRPr="00006BB5" w:rsidTr="000F2E0B">
        <w:trPr>
          <w:trHeight w:val="267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Genel Müdür Yardımcısı (Şube Şeklinde Faaliyet Gösteren Acenteler İçin)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5 yıl</w:t>
            </w:r>
          </w:p>
        </w:tc>
      </w:tr>
      <w:tr w:rsidR="005A6A91" w:rsidRPr="00006BB5" w:rsidTr="000F2E0B">
        <w:trPr>
          <w:trHeight w:val="37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4 yıl</w:t>
            </w:r>
          </w:p>
        </w:tc>
      </w:tr>
      <w:tr w:rsidR="005A6A91" w:rsidRPr="00006BB5" w:rsidTr="000F2E0B">
        <w:trPr>
          <w:trHeight w:val="35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3 yıl</w:t>
            </w:r>
          </w:p>
        </w:tc>
      </w:tr>
    </w:tbl>
    <w:p w:rsidR="005A6A91" w:rsidRPr="00006BB5" w:rsidRDefault="005A6A91" w:rsidP="005A6A91">
      <w:pPr>
        <w:rPr>
          <w:rFonts w:ascii="Times New Roman" w:hAnsi="Times New Roman"/>
          <w:sz w:val="20"/>
          <w:szCs w:val="20"/>
        </w:rPr>
      </w:pPr>
      <w:r w:rsidRPr="00006BB5">
        <w:rPr>
          <w:rFonts w:ascii="Times New Roman" w:hAnsi="Times New Roman"/>
          <w:sz w:val="20"/>
          <w:szCs w:val="20"/>
        </w:rPr>
        <w:t xml:space="preserve">* Sigortacılık ile ilgili bölümler sigortacılık, bankacılık ve sigortacılık, risk yönetimi ve </w:t>
      </w:r>
      <w:proofErr w:type="spellStart"/>
      <w:r w:rsidRPr="00006BB5">
        <w:rPr>
          <w:rFonts w:ascii="Times New Roman" w:hAnsi="Times New Roman"/>
          <w:sz w:val="20"/>
          <w:szCs w:val="20"/>
        </w:rPr>
        <w:t>aktüerya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bölümleridir.</w:t>
      </w:r>
    </w:p>
    <w:p w:rsidR="005A6A91" w:rsidRPr="00006BB5" w:rsidRDefault="005A6A91" w:rsidP="005A6A91">
      <w:pPr>
        <w:rPr>
          <w:sz w:val="20"/>
          <w:szCs w:val="20"/>
        </w:rPr>
      </w:pPr>
      <w:r w:rsidRPr="00006BB5">
        <w:rPr>
          <w:rFonts w:ascii="Times New Roman" w:hAnsi="Times New Roman"/>
          <w:sz w:val="20"/>
          <w:szCs w:val="20"/>
        </w:rPr>
        <w:t xml:space="preserve">- Bireysel emeklilik mevzuatı çerçevesinde aracılık yapma yetkisine sahip kişiler 6 </w:t>
      </w:r>
      <w:proofErr w:type="spellStart"/>
      <w:r w:rsidRPr="00006BB5">
        <w:rPr>
          <w:rFonts w:ascii="Times New Roman" w:hAnsi="Times New Roman"/>
          <w:sz w:val="20"/>
          <w:szCs w:val="20"/>
        </w:rPr>
        <w:t>ncı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maddenin ikinci fıkrasının (ç) bendinde belirtilen yeterlilik sınavını kazanmaları şartıyla teknik personel olarak kabul edilir.</w:t>
      </w:r>
      <w:r w:rsidRPr="00006BB5">
        <w:rPr>
          <w:sz w:val="20"/>
          <w:szCs w:val="20"/>
        </w:rPr>
        <w:t xml:space="preserve"> </w:t>
      </w:r>
    </w:p>
    <w:p w:rsidR="005A6A91" w:rsidRDefault="005A6A91" w:rsidP="005A6A91">
      <w:pPr>
        <w:rPr>
          <w:rFonts w:ascii="Times New Roman" w:hAnsi="Times New Roman"/>
          <w:sz w:val="20"/>
          <w:szCs w:val="20"/>
        </w:rPr>
      </w:pPr>
      <w:proofErr w:type="gramStart"/>
      <w:r w:rsidRPr="00006BB5">
        <w:rPr>
          <w:rFonts w:ascii="Times New Roman" w:hAnsi="Times New Roman"/>
          <w:sz w:val="20"/>
          <w:szCs w:val="20"/>
        </w:rPr>
        <w:t xml:space="preserve">- 14.04.2008 tarihinden önce sigorta acentesi ortaklığı bulunanların gerçek kişi acente ya da tüzel kişi acente müdürü olmak istemeleri halinde,  bu kişiler 14.04.2008 tarihli ve 28980 sayılı Resmi </w:t>
      </w:r>
      <w:proofErr w:type="spellStart"/>
      <w:r w:rsidRPr="00006BB5">
        <w:rPr>
          <w:rFonts w:ascii="Times New Roman" w:hAnsi="Times New Roman"/>
          <w:sz w:val="20"/>
          <w:szCs w:val="20"/>
        </w:rPr>
        <w:t>Gazete’de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yayımlanan Sigorta Acenteleri Yönetmeliği’nin Geçici 1. Maddesi çerçevesinde anılan tarihten önce gerçek ve tüzel kişi acente yöneticiliği yapanlara tanınan öğrenim düzeyi ş</w:t>
      </w:r>
      <w:r>
        <w:rPr>
          <w:rFonts w:ascii="Times New Roman" w:hAnsi="Times New Roman"/>
          <w:sz w:val="20"/>
          <w:szCs w:val="20"/>
        </w:rPr>
        <w:t>artından muaf tutulacaktır.</w:t>
      </w:r>
      <w:proofErr w:type="gramEnd"/>
    </w:p>
    <w:p w:rsidR="005A6A91" w:rsidRDefault="005A6A91" w:rsidP="000555E4">
      <w:pPr>
        <w:numPr>
          <w:ilvl w:val="0"/>
          <w:numId w:val="1"/>
        </w:numPr>
      </w:pPr>
      <w:r w:rsidRPr="00894D82">
        <w:rPr>
          <w:rFonts w:ascii="Times New Roman" w:hAnsi="Times New Roman"/>
          <w:i/>
          <w:sz w:val="20"/>
          <w:szCs w:val="20"/>
        </w:rPr>
        <w:t xml:space="preserve">Bu değişiklik </w:t>
      </w:r>
      <w:proofErr w:type="gramStart"/>
      <w:r w:rsidRPr="00894D82">
        <w:rPr>
          <w:rFonts w:ascii="Times New Roman" w:hAnsi="Times New Roman"/>
          <w:i/>
          <w:sz w:val="20"/>
          <w:szCs w:val="20"/>
        </w:rPr>
        <w:t>16/7/2016</w:t>
      </w:r>
      <w:proofErr w:type="gramEnd"/>
      <w:r w:rsidRPr="00894D82">
        <w:rPr>
          <w:rFonts w:ascii="Times New Roman" w:hAnsi="Times New Roman"/>
          <w:i/>
          <w:sz w:val="20"/>
          <w:szCs w:val="20"/>
        </w:rPr>
        <w:t xml:space="preserve"> tarihinde yürürlüğe girer.</w:t>
      </w:r>
      <w:r w:rsidRPr="00894D8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5A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358"/>
    <w:multiLevelType w:val="hybridMultilevel"/>
    <w:tmpl w:val="45FADB02"/>
    <w:lvl w:ilvl="0" w:tplc="6480E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91"/>
    <w:rsid w:val="005A6A91"/>
    <w:rsid w:val="00625315"/>
    <w:rsid w:val="008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AAB3-BFFD-40C9-A52B-EF37C82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91"/>
    <w:pPr>
      <w:spacing w:after="0" w:line="240" w:lineRule="atLeast"/>
      <w:ind w:firstLine="851"/>
      <w:jc w:val="both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Mine Özkan</cp:lastModifiedBy>
  <cp:revision>3</cp:revision>
  <dcterms:created xsi:type="dcterms:W3CDTF">2017-05-24T07:57:00Z</dcterms:created>
  <dcterms:modified xsi:type="dcterms:W3CDTF">2018-01-09T13:31:00Z</dcterms:modified>
</cp:coreProperties>
</file>